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360" w:lineRule="auto"/>
        <w:rPr>
          <w:rFonts w:hint="eastAsia" w:ascii="黑体" w:hAnsi="黑体" w:eastAsia="黑体" w:cs="黑体"/>
          <w:b/>
          <w:bCs/>
          <w:kern w:val="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</w:rPr>
        <w:t>附件1：</w:t>
      </w:r>
    </w:p>
    <w:p>
      <w:pPr>
        <w:jc w:val="center"/>
        <w:rPr>
          <w:rFonts w:ascii="仿宋_GB2312" w:hAnsi="宋体" w:eastAsia="仿宋_GB2312"/>
          <w:b/>
          <w:sz w:val="36"/>
          <w:szCs w:val="36"/>
          <w:shd w:val="clear" w:color="auto" w:fill="FFFFFF"/>
        </w:rPr>
      </w:pPr>
      <w:r>
        <w:rPr>
          <w:rFonts w:ascii="仿宋_GB2312" w:hAnsi="宋体" w:eastAsia="仿宋_GB2312"/>
          <w:b/>
          <w:sz w:val="36"/>
          <w:szCs w:val="36"/>
          <w:shd w:val="clear" w:color="auto" w:fill="FFFFFF"/>
        </w:rPr>
        <w:t>第十八届华东律师论坛主题及参考选题</w:t>
      </w:r>
    </w:p>
    <w:p>
      <w:pPr>
        <w:spacing w:line="600" w:lineRule="exact"/>
        <w:ind w:firstLine="562" w:firstLineChars="200"/>
        <w:jc w:val="left"/>
        <w:rPr>
          <w:rFonts w:hint="eastAsia" w:ascii="仿宋_GB2312" w:hAnsi="Times New Roman" w:eastAsia="仿宋_GB2312"/>
          <w:b/>
          <w:bCs/>
          <w:sz w:val="28"/>
          <w:szCs w:val="28"/>
        </w:rPr>
      </w:pPr>
      <w:r>
        <w:rPr>
          <w:rFonts w:hint="eastAsia" w:ascii="仿宋_GB2312" w:hAnsi="Times New Roman" w:eastAsia="仿宋_GB2312"/>
          <w:b/>
          <w:bCs/>
          <w:sz w:val="28"/>
          <w:szCs w:val="28"/>
        </w:rPr>
        <w:t>论坛主题</w:t>
      </w:r>
    </w:p>
    <w:p>
      <w:pPr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新时代下华东律师业高质量发展与合作共赢</w:t>
      </w:r>
    </w:p>
    <w:p>
      <w:pPr>
        <w:spacing w:line="600" w:lineRule="exact"/>
        <w:ind w:firstLine="562" w:firstLineChars="200"/>
        <w:jc w:val="left"/>
        <w:rPr>
          <w:rFonts w:hint="eastAsia" w:ascii="仿宋_GB2312" w:hAnsi="Times New Roman" w:eastAsia="仿宋_GB2312"/>
          <w:bCs/>
          <w:sz w:val="28"/>
          <w:szCs w:val="28"/>
        </w:rPr>
      </w:pPr>
      <w:r>
        <w:rPr>
          <w:rFonts w:hint="eastAsia" w:ascii="仿宋_GB2312" w:hAnsi="Times New Roman" w:eastAsia="仿宋_GB2312"/>
          <w:b/>
          <w:bCs/>
          <w:sz w:val="28"/>
          <w:szCs w:val="28"/>
        </w:rPr>
        <w:t>分论坛主题及参考选题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仿宋_GB2312" w:hAnsi="Times New Roman" w:eastAsia="仿宋_GB2312"/>
          <w:b/>
          <w:color w:val="000000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b/>
          <w:sz w:val="28"/>
          <w:szCs w:val="28"/>
        </w:rPr>
        <w:t>分论坛一：新形势下如何做“让党和人民群众满意的好律师”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1.结合司法部党组“五点希望”谈如何做一名“党和人民满意的好律师”的思考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2.争做行业清风正气守护者的发展探讨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3.新时代背景下律师行业文化的思考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4.新形势下如何开展律师行业党建工作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仿宋_GB2312" w:hAnsi="Times New Roman" w:eastAsia="仿宋_GB2312"/>
          <w:b/>
          <w:sz w:val="28"/>
          <w:szCs w:val="28"/>
        </w:rPr>
      </w:pPr>
      <w:r>
        <w:rPr>
          <w:rFonts w:hint="eastAsia" w:ascii="仿宋_GB2312" w:hAnsi="Times New Roman" w:eastAsia="仿宋_GB2312"/>
          <w:b/>
          <w:sz w:val="28"/>
          <w:szCs w:val="28"/>
        </w:rPr>
        <w:t>分论坛二：新形势下律师业如何服务高质量发展大局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1.律师行业“产业链+法律服务”再思考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2.律师服务“合规建设”新思考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3.新形势下如何做好政府法律服务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4.新形势下环境污染生态保护的法律研究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5.数据合规与保护法律研究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6.律师在为乡村产业发展提供法治保障法律研究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7.律师参与乡村振兴战略的实施与法治乡村建设研究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8.律师参与基层治理的实践与思考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仿宋_GB2312" w:hAnsi="Times New Roman" w:eastAsia="仿宋_GB2312"/>
          <w:b/>
          <w:color w:val="000000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b/>
          <w:sz w:val="28"/>
          <w:szCs w:val="28"/>
        </w:rPr>
        <w:t>分论坛三：律师行业管理如何助推律师业高质量发展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1.律师协会在行业管理上如何推动律师行业高质量发展的思考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2.律师行业宣传工作的实践与思考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3.律师行业培训的实践与思考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4.新形势下青年律师的发展与突破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5.新形势下律师领军人才培养的机制研究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6.人工智能对律师行业影响研究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7.律师协会两委工作开展助推行业高质量发展的思考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8.数据合规对律师行业的机遇及挑战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仿宋_GB2312" w:hAnsi="Times New Roman" w:eastAsia="仿宋_GB2312"/>
          <w:b/>
          <w:sz w:val="28"/>
          <w:szCs w:val="28"/>
        </w:rPr>
      </w:pPr>
      <w:r>
        <w:rPr>
          <w:rFonts w:hint="eastAsia" w:ascii="仿宋_GB2312" w:hAnsi="Times New Roman" w:eastAsia="仿宋_GB2312"/>
          <w:b/>
          <w:sz w:val="28"/>
          <w:szCs w:val="28"/>
        </w:rPr>
        <w:t>分论坛四：涉外法律业务的构建与思考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1.新形势下涉外法律服务业务的展望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2.应对外国不当法律及措施适用的法律救济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3.国际新形势下的跨境投资和国际贸易实务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4.“一带一路”区域争议解决机制及创新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5.跨境交易和纠纷中的揭开公司面纱问题研究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6.涉外争议解决中的国际私法热点问题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7.碳中和时代下的涉外法律问题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8.数字经济的跨境法律实务研究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9.对外关系法视域下的法律问题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10.海外知识产权保护实务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11.数字合规若干问题探析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12.长臂管辖下中国企业的法律困境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jYWNkYTRjYjFmOGVkMjU3NmY1ZDY2ODViM2JjYjcifQ=="/>
  </w:docVars>
  <w:rsids>
    <w:rsidRoot w:val="793936E4"/>
    <w:rsid w:val="7939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2023-09-04T03:51:00Z</dcterms:created>
  <dc:creator>范鑫鑫</dc:creator>
  <cp:lastModifiedBy>范鑫鑫</cp:lastModifiedBy>
  <dcterms:modified xsi:type="dcterms:W3CDTF">2023-09-04T06:15:10Z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3510B8CED4534934B8239E1A0E3653B6</vt:lpwstr>
  </property>
</Properties>
</file>